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F5" w:rsidRDefault="007105F5" w:rsidP="007105F5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</w:r>
      <w:r w:rsidR="000331C1">
        <w:rPr>
          <w:rFonts w:ascii="Cambria" w:hAnsi="Cambria"/>
          <w:b/>
          <w:u w:val="single"/>
        </w:rPr>
        <w:pict>
          <v:group id="_x0000_s1028" style="width:531.2pt;height:63pt;mso-position-horizontal-relative:char;mso-position-vertical-relative:line" coordorigin="753,555" coordsize="10152,1260">
            <v:group id="_x0000_s1029" style="position:absolute;left:1410;top:555;width:9495;height:1260" coordorigin="1410,555" coordsize="9495,1260">
              <v:rect id="_x0000_s1030" style="position:absolute;left:1410;top:555;width:9495;height:1260" filled="f" stroked="f">
                <v:textbox style="mso-next-textbox:#_x0000_s1030">
                  <w:txbxContent>
                    <w:p w:rsidR="007105F5" w:rsidRPr="0021511C" w:rsidRDefault="007105F5" w:rsidP="007105F5">
                      <w:pPr>
                        <w:tabs>
                          <w:tab w:val="right" w:pos="5580"/>
                          <w:tab w:val="right" w:pos="918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0331C1">
                          <w:rPr>
                            <w:noProof/>
                          </w:rPr>
                          <w:t>HW 83 Sem 1 Final Study Guide</w:t>
                        </w:r>
                      </w:fldSimple>
                    </w:p>
                    <w:p w:rsidR="007105F5" w:rsidRPr="00311F19" w:rsidRDefault="007105F5" w:rsidP="007105F5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lang w:val="en-US"/>
                        </w:rPr>
                        <w:t>Mr. Tiénou-Gustafson, Mr. Bielmeier</w:t>
                      </w:r>
                    </w:p>
                    <w:p w:rsidR="007105F5" w:rsidRPr="0021511C" w:rsidRDefault="007105F5" w:rsidP="007105F5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7105F5" w:rsidRPr="0021511C" w:rsidRDefault="007105F5" w:rsidP="007105F5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Mon, 13 Jan 2015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1" style="position:absolute;left:8985;top:900;width:1755;height:780" arcsize="10923f">
                <v:shadow on="t"/>
                <v:textbox style="mso-next-textbox:#_x0000_s1031" inset=",0,,0">
                  <w:txbxContent>
                    <w:p w:rsidR="007105F5" w:rsidRPr="001B09FE" w:rsidRDefault="007105F5" w:rsidP="007105F5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7105F5" w:rsidRPr="001B09FE" w:rsidRDefault="007105F5" w:rsidP="007105F5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753;top:672;width:756;height:1008">
              <v:imagedata r:id="rId5" o:title="El Mate Vive"/>
            </v:shape>
            <w10:wrap type="none"/>
            <w10:anchorlock/>
          </v:group>
        </w:pict>
      </w:r>
    </w:p>
    <w:p w:rsidR="00F96975" w:rsidRPr="009F49C7" w:rsidRDefault="00F96975" w:rsidP="00F96975">
      <w:pPr>
        <w:rPr>
          <w:rFonts w:ascii="Cambria" w:hAnsi="Cambria"/>
          <w:b/>
          <w:u w:val="single"/>
        </w:rPr>
      </w:pPr>
      <w:r w:rsidRPr="009F49C7">
        <w:rPr>
          <w:rFonts w:ascii="Cambria" w:hAnsi="Cambria"/>
          <w:b/>
          <w:u w:val="single"/>
        </w:rPr>
        <w:t>Preparing for the final:</w:t>
      </w:r>
    </w:p>
    <w:p w:rsidR="00F96975" w:rsidRPr="007105F5" w:rsidRDefault="00F96975" w:rsidP="00F96975">
      <w:pPr>
        <w:rPr>
          <w:rFonts w:ascii="Cambria" w:hAnsi="Cambria"/>
          <w:spacing w:val="-4"/>
          <w:sz w:val="22"/>
          <w:szCs w:val="22"/>
        </w:rPr>
      </w:pPr>
      <w:r w:rsidRPr="007105F5">
        <w:rPr>
          <w:rFonts w:ascii="Cambria" w:hAnsi="Cambria"/>
          <w:spacing w:val="-4"/>
          <w:sz w:val="22"/>
          <w:szCs w:val="22"/>
        </w:rPr>
        <w:t xml:space="preserve">You will be allowed to use ONE 8 ½ by 11 study guide on the final! You may only use ONE side (not both). You can hand write or type your study guide. </w:t>
      </w:r>
      <w:proofErr w:type="gramStart"/>
      <w:r w:rsidRPr="007105F5">
        <w:rPr>
          <w:rFonts w:ascii="Cambria" w:hAnsi="Cambria"/>
          <w:spacing w:val="-4"/>
          <w:sz w:val="22"/>
          <w:szCs w:val="22"/>
        </w:rPr>
        <w:t>Study guide MUST be approved by your geometry teacher</w:t>
      </w:r>
      <w:proofErr w:type="gramEnd"/>
      <w:r w:rsidR="007105F5" w:rsidRPr="007105F5">
        <w:rPr>
          <w:rFonts w:ascii="Cambria" w:hAnsi="Cambria"/>
          <w:spacing w:val="-4"/>
          <w:sz w:val="22"/>
          <w:szCs w:val="22"/>
        </w:rPr>
        <w:t xml:space="preserve"> </w:t>
      </w:r>
      <w:r w:rsidRPr="007105F5">
        <w:rPr>
          <w:rFonts w:ascii="Cambria" w:hAnsi="Cambria"/>
          <w:spacing w:val="-4"/>
          <w:sz w:val="22"/>
          <w:szCs w:val="22"/>
        </w:rPr>
        <w:t xml:space="preserve">BEFORE you take the final. If you fail to follow these </w:t>
      </w:r>
      <w:proofErr w:type="gramStart"/>
      <w:r w:rsidRPr="007105F5">
        <w:rPr>
          <w:rFonts w:ascii="Cambria" w:hAnsi="Cambria"/>
          <w:spacing w:val="-4"/>
          <w:sz w:val="22"/>
          <w:szCs w:val="22"/>
        </w:rPr>
        <w:t>directions</w:t>
      </w:r>
      <w:proofErr w:type="gramEnd"/>
      <w:r w:rsidRPr="007105F5">
        <w:rPr>
          <w:rFonts w:ascii="Cambria" w:hAnsi="Cambria"/>
          <w:spacing w:val="-4"/>
          <w:sz w:val="22"/>
          <w:szCs w:val="22"/>
        </w:rPr>
        <w:t xml:space="preserve"> you will NOT be allowed to use your study guide on the final! When in doubt, ask!</w:t>
      </w:r>
    </w:p>
    <w:p w:rsidR="00F96975" w:rsidRPr="009F49C7" w:rsidRDefault="00F96975" w:rsidP="00F96975">
      <w:pPr>
        <w:rPr>
          <w:rFonts w:ascii="Cambria" w:hAnsi="Cambria"/>
        </w:rPr>
      </w:pPr>
    </w:p>
    <w:tbl>
      <w:tblPr>
        <w:tblW w:w="0" w:type="auto"/>
        <w:tblLook w:val="04A0"/>
      </w:tblPr>
      <w:tblGrid>
        <w:gridCol w:w="5508"/>
        <w:gridCol w:w="5508"/>
      </w:tblGrid>
      <w:tr w:rsidR="00F96975" w:rsidRPr="009F49C7" w:rsidTr="00107ADE">
        <w:tc>
          <w:tcPr>
            <w:tcW w:w="5508" w:type="dxa"/>
            <w:shd w:val="clear" w:color="auto" w:fill="auto"/>
          </w:tcPr>
          <w:p w:rsidR="00F96975" w:rsidRPr="009F49C7" w:rsidRDefault="00F96975" w:rsidP="00107ADE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What you </w:t>
            </w:r>
            <w:r w:rsidRPr="007105F5">
              <w:rPr>
                <w:rFonts w:ascii="Cambria" w:hAnsi="Cambria"/>
                <w:b/>
                <w:u w:val="single"/>
              </w:rPr>
              <w:t>can</w:t>
            </w:r>
            <w:r w:rsidRPr="009F49C7">
              <w:rPr>
                <w:rFonts w:ascii="Cambria" w:hAnsi="Cambria"/>
                <w:b/>
              </w:rPr>
              <w:t xml:space="preserve"> include:</w:t>
            </w:r>
          </w:p>
          <w:p w:rsidR="00F96975" w:rsidRPr="009F49C7" w:rsidRDefault="00F96975" w:rsidP="00107AD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Formulas/Rules</w:t>
            </w:r>
          </w:p>
          <w:p w:rsidR="00F96975" w:rsidRPr="009F49C7" w:rsidRDefault="00F96975" w:rsidP="00107AD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Definitions</w:t>
            </w:r>
          </w:p>
          <w:p w:rsidR="00F96975" w:rsidRPr="009F49C7" w:rsidRDefault="00F96975" w:rsidP="00107AD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Ideas/concepts</w:t>
            </w:r>
          </w:p>
          <w:p w:rsidR="00F96975" w:rsidRDefault="00F96975" w:rsidP="00107AD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Diagrams</w:t>
            </w:r>
          </w:p>
          <w:p w:rsidR="007105F5" w:rsidRDefault="007105F5" w:rsidP="007105F5">
            <w:pPr>
              <w:ind w:left="720"/>
              <w:rPr>
                <w:rFonts w:ascii="Cambria" w:hAnsi="Cambria"/>
              </w:rPr>
            </w:pPr>
          </w:p>
          <w:p w:rsidR="007105F5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u w:val="single"/>
              </w:rPr>
              <w:t>Good Example:</w:t>
            </w:r>
          </w:p>
          <w:p w:rsidR="007105F5" w:rsidRPr="007105F5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/>
              <w:rPr>
                <w:rFonts w:ascii="Cambria" w:hAnsi="Cambria"/>
                <w:i/>
              </w:rPr>
            </w:pPr>
            <w:r w:rsidRPr="007105F5">
              <w:rPr>
                <w:rFonts w:ascii="Cambria" w:hAnsi="Cambria"/>
                <w:b/>
                <w:i/>
              </w:rPr>
              <w:t>A</w:t>
            </w:r>
            <w:r w:rsidRPr="007105F5">
              <w:rPr>
                <w:rFonts w:ascii="Cambria" w:hAnsi="Cambria"/>
                <w:b/>
                <w:i/>
                <w:vertAlign w:val="subscript"/>
              </w:rPr>
              <w:t>(square)</w:t>
            </w:r>
            <w:r w:rsidRPr="007105F5">
              <w:rPr>
                <w:rFonts w:ascii="Cambria" w:hAnsi="Cambria"/>
                <w:b/>
                <w:i/>
              </w:rPr>
              <w:t xml:space="preserve"> = </w:t>
            </w:r>
            <w:r w:rsidRPr="007105F5">
              <w:rPr>
                <w:rFonts w:ascii="Cambria" w:hAnsi="Cambria" w:cs="Calibri"/>
                <w:b/>
                <w:i/>
              </w:rPr>
              <w:t>s</w:t>
            </w:r>
            <w:r w:rsidRPr="007105F5">
              <w:rPr>
                <w:rFonts w:ascii="Cambria" w:hAnsi="Cambria" w:cs="Calibri"/>
                <w:b/>
                <w:i/>
                <w:vertAlign w:val="superscript"/>
              </w:rPr>
              <w:t>2</w:t>
            </w:r>
          </w:p>
          <w:p w:rsidR="007105F5" w:rsidRPr="007105F5" w:rsidRDefault="007105F5" w:rsidP="007105F5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mbria" w:hAnsi="Cambria"/>
                <w:i/>
                <w:sz w:val="22"/>
              </w:rPr>
            </w:pPr>
            <w:r w:rsidRPr="007105F5">
              <w:rPr>
                <w:rFonts w:ascii="Cambria" w:hAnsi="Cambria"/>
                <w:i/>
                <w:sz w:val="22"/>
              </w:rPr>
              <w:t>If given the area of a square, remember to take the square root to find length of ONE side</w:t>
            </w:r>
          </w:p>
          <w:p w:rsidR="007105F5" w:rsidRPr="007105F5" w:rsidRDefault="007105F5" w:rsidP="007105F5">
            <w:pPr>
              <w:ind w:left="720"/>
              <w:rPr>
                <w:rFonts w:ascii="Cambria" w:hAnsi="Cambria"/>
                <w:i/>
              </w:rPr>
            </w:pPr>
          </w:p>
        </w:tc>
        <w:tc>
          <w:tcPr>
            <w:tcW w:w="5508" w:type="dxa"/>
            <w:shd w:val="clear" w:color="auto" w:fill="auto"/>
          </w:tcPr>
          <w:p w:rsidR="00F96975" w:rsidRPr="009F49C7" w:rsidRDefault="00F96975" w:rsidP="00107ADE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>Not allowed:</w:t>
            </w:r>
          </w:p>
          <w:p w:rsidR="007105F5" w:rsidRDefault="00F96975" w:rsidP="00107ADE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proofErr w:type="gramStart"/>
            <w:r w:rsidRPr="009F49C7">
              <w:rPr>
                <w:rFonts w:ascii="Cambria" w:hAnsi="Cambria"/>
              </w:rPr>
              <w:t>Worked out examples</w:t>
            </w:r>
            <w:r w:rsidR="007105F5">
              <w:rPr>
                <w:rFonts w:ascii="Cambria" w:hAnsi="Cambria"/>
              </w:rPr>
              <w:t>.</w:t>
            </w:r>
            <w:proofErr w:type="gramEnd"/>
            <w:r w:rsidR="007105F5">
              <w:rPr>
                <w:rFonts w:ascii="Cambria" w:hAnsi="Cambria"/>
              </w:rPr>
              <w:t xml:space="preserve"> </w:t>
            </w:r>
          </w:p>
          <w:p w:rsidR="00F96975" w:rsidRPr="007105F5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right="360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u w:val="single"/>
              </w:rPr>
              <w:t xml:space="preserve">Bad </w:t>
            </w:r>
            <w:r w:rsidRPr="007105F5">
              <w:rPr>
                <w:rFonts w:ascii="Cambria" w:hAnsi="Cambria"/>
                <w:i/>
                <w:u w:val="single"/>
              </w:rPr>
              <w:t>Example</w:t>
            </w:r>
            <w:r>
              <w:rPr>
                <w:rFonts w:ascii="Cambria" w:hAnsi="Cambria"/>
                <w:i/>
              </w:rPr>
              <w:t>:</w:t>
            </w:r>
          </w:p>
          <w:p w:rsidR="007105F5" w:rsidRPr="009F49C7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right="360"/>
              <w:rPr>
                <w:rFonts w:ascii="Cambria" w:hAnsi="Cambria" w:cs="Calibri"/>
                <w:i/>
              </w:rPr>
            </w:pPr>
            <w:r w:rsidRPr="009F49C7">
              <w:rPr>
                <w:rFonts w:ascii="Cambria" w:hAnsi="Cambria" w:cs="Calibri"/>
                <w:i/>
              </w:rPr>
              <w:t xml:space="preserve">The </w:t>
            </w:r>
            <w:r>
              <w:rPr>
                <w:rFonts w:ascii="Cambria" w:hAnsi="Cambria" w:cs="Calibri"/>
                <w:i/>
              </w:rPr>
              <w:t>area</w:t>
            </w:r>
            <w:r w:rsidRPr="009F49C7">
              <w:rPr>
                <w:rFonts w:ascii="Cambria" w:hAnsi="Cambria" w:cs="Calibri"/>
                <w:i/>
              </w:rPr>
              <w:t xml:space="preserve"> of a </w:t>
            </w:r>
            <w:r>
              <w:rPr>
                <w:rFonts w:ascii="Cambria" w:hAnsi="Cambria" w:cs="Calibri"/>
                <w:i/>
              </w:rPr>
              <w:t xml:space="preserve">square </w:t>
            </w:r>
            <w:proofErr w:type="gramStart"/>
            <w:r>
              <w:rPr>
                <w:rFonts w:ascii="Cambria" w:hAnsi="Cambria" w:cs="Calibri"/>
                <w:i/>
              </w:rPr>
              <w:t>is 64 inches squared</w:t>
            </w:r>
            <w:proofErr w:type="gramEnd"/>
            <w:r>
              <w:rPr>
                <w:rFonts w:ascii="Cambria" w:hAnsi="Cambria" w:cs="Calibri"/>
                <w:i/>
              </w:rPr>
              <w:t>. What is the perimeter</w:t>
            </w:r>
            <w:r w:rsidRPr="009F49C7">
              <w:rPr>
                <w:rFonts w:ascii="Cambria" w:hAnsi="Cambria" w:cs="Calibri"/>
                <w:i/>
              </w:rPr>
              <w:t xml:space="preserve"> of </w:t>
            </w:r>
            <w:r>
              <w:rPr>
                <w:rFonts w:ascii="Cambria" w:hAnsi="Cambria" w:cs="Calibri"/>
                <w:i/>
              </w:rPr>
              <w:t>the square</w:t>
            </w:r>
            <w:r w:rsidRPr="009F49C7">
              <w:rPr>
                <w:rFonts w:ascii="Cambria" w:hAnsi="Cambria" w:cs="Calibri"/>
                <w:i/>
              </w:rPr>
              <w:t>?</w:t>
            </w:r>
          </w:p>
          <w:p w:rsidR="007105F5" w:rsidRPr="009F49C7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right="360"/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A</w:t>
            </w:r>
            <w:r w:rsidRPr="009F49C7">
              <w:rPr>
                <w:rFonts w:ascii="Cambria" w:hAnsi="Cambria" w:cs="Calibri"/>
                <w:i/>
              </w:rPr>
              <w:t xml:space="preserve">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  <w:r w:rsidRPr="009F49C7">
              <w:rPr>
                <w:rFonts w:ascii="Cambria" w:hAnsi="Cambria" w:cs="Calibri"/>
                <w:i/>
              </w:rPr>
              <w:br/>
              <w:t>64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</w:p>
          <w:p w:rsidR="007105F5" w:rsidRPr="009F49C7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756"/>
              </w:tabs>
              <w:ind w:left="720" w:right="360"/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s  = 8</w:t>
            </w:r>
            <w:r>
              <w:rPr>
                <w:rFonts w:ascii="Cambria" w:hAnsi="Cambria" w:cs="Calibri"/>
                <w:i/>
              </w:rPr>
              <w:tab/>
            </w:r>
          </w:p>
          <w:p w:rsidR="007105F5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right="360"/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P</w:t>
            </w:r>
            <w:r w:rsidRPr="009F49C7">
              <w:rPr>
                <w:rFonts w:ascii="Cambria" w:hAnsi="Cambria" w:cs="Calibri"/>
                <w:i/>
              </w:rPr>
              <w:t xml:space="preserve"> = 4</w:t>
            </w:r>
            <w:r>
              <w:rPr>
                <w:rFonts w:ascii="Cambria" w:hAnsi="Cambria" w:cs="Calibri"/>
                <w:i/>
              </w:rPr>
              <w:t xml:space="preserve">s </w:t>
            </w:r>
          </w:p>
          <w:p w:rsidR="007105F5" w:rsidRPr="009F49C7" w:rsidRDefault="007105F5" w:rsidP="007105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right="360"/>
              <w:rPr>
                <w:rFonts w:ascii="Cambria" w:hAnsi="Cambria"/>
              </w:rPr>
            </w:pPr>
            <w:r>
              <w:rPr>
                <w:rFonts w:ascii="Cambria" w:hAnsi="Cambria" w:cs="Calibri"/>
                <w:i/>
              </w:rPr>
              <w:t xml:space="preserve">P = 4 </w:t>
            </w:r>
            <w:r w:rsidRPr="007105F5">
              <w:rPr>
                <w:rFonts w:asciiTheme="minorHAnsi" w:hAnsiTheme="minorHAnsi" w:cs="Calibri"/>
                <w:i/>
              </w:rPr>
              <w:t>x</w:t>
            </w:r>
            <w:r>
              <w:rPr>
                <w:rFonts w:asciiTheme="minorHAnsi" w:hAnsiTheme="minorHAnsi" w:cs="Calibri"/>
                <w:i/>
              </w:rPr>
              <w:t xml:space="preserve"> </w:t>
            </w:r>
            <w:r>
              <w:rPr>
                <w:rFonts w:ascii="Cambria" w:hAnsi="Cambria" w:cs="Calibri"/>
                <w:i/>
              </w:rPr>
              <w:t>8 = 32</w:t>
            </w:r>
          </w:p>
          <w:p w:rsidR="00F96975" w:rsidRPr="009F49C7" w:rsidRDefault="00F96975" w:rsidP="00107ADE">
            <w:pPr>
              <w:rPr>
                <w:rFonts w:ascii="Cambria" w:hAnsi="Cambria"/>
              </w:rPr>
            </w:pPr>
          </w:p>
        </w:tc>
      </w:tr>
    </w:tbl>
    <w:p w:rsidR="007105F5" w:rsidRPr="007105F5" w:rsidRDefault="007105F5" w:rsidP="007105F5">
      <w:pPr>
        <w:rPr>
          <w:i/>
        </w:rPr>
      </w:pPr>
      <w:r w:rsidRPr="007105F5">
        <w:t xml:space="preserve">On the reverse are the units we have covered with a list of skills from each section. It may help you to check these off </w:t>
      </w:r>
      <w:proofErr w:type="gramStart"/>
      <w:r w:rsidRPr="007105F5">
        <w:t>either if you decide you</w:t>
      </w:r>
      <w:proofErr w:type="gramEnd"/>
      <w:r w:rsidRPr="007105F5">
        <w:t xml:space="preserve"> are very confident with this skill </w:t>
      </w:r>
      <w:r w:rsidRPr="007105F5">
        <w:rPr>
          <w:u w:val="single"/>
        </w:rPr>
        <w:t>or</w:t>
      </w:r>
      <w:r w:rsidRPr="007105F5">
        <w:t xml:space="preserve"> after you put a hint about this skill on your study guide.</w:t>
      </w:r>
      <w:r>
        <w:t xml:space="preserve"> </w:t>
      </w:r>
      <w:r w:rsidRPr="007105F5">
        <w:rPr>
          <w:i/>
        </w:rPr>
        <w:t xml:space="preserve">If you </w:t>
      </w:r>
      <w:proofErr w:type="gramStart"/>
      <w:r w:rsidRPr="007105F5">
        <w:rPr>
          <w:i/>
        </w:rPr>
        <w:t>don’t</w:t>
      </w:r>
      <w:proofErr w:type="gramEnd"/>
      <w:r w:rsidRPr="007105F5">
        <w:rPr>
          <w:i/>
        </w:rPr>
        <w:t xml:space="preserve"> recall skills, look at old notes or homework, or </w:t>
      </w:r>
      <w:r>
        <w:rPr>
          <w:i/>
        </w:rPr>
        <w:t>find them on</w:t>
      </w:r>
      <w:r w:rsidRPr="007105F5">
        <w:rPr>
          <w:i/>
        </w:rPr>
        <w:t xml:space="preserve"> the wiki Geometry page:</w:t>
      </w:r>
    </w:p>
    <w:p w:rsidR="007105F5" w:rsidRDefault="007105F5" w:rsidP="007105F5">
      <w:pPr>
        <w:tabs>
          <w:tab w:val="left" w:pos="7832"/>
        </w:tabs>
        <w:rPr>
          <w:i/>
        </w:rPr>
      </w:pPr>
      <w:r>
        <w:rPr>
          <w:i/>
          <w:noProof/>
        </w:rPr>
        <w:pict>
          <v:oval id="_x0000_s1026" style="position:absolute;margin-left:85.15pt;margin-top:67.45pt;width:95.75pt;height:39.55pt;z-index:251658240" filled="f" strokecolor="red" strokeweight="4.5pt"/>
        </w:pict>
      </w:r>
      <w:r>
        <w:rPr>
          <w:i/>
          <w:noProof/>
        </w:rPr>
        <w:drawing>
          <wp:inline distT="0" distB="0" distL="0" distR="0">
            <wp:extent cx="4619857" cy="2085278"/>
            <wp:effectExtent l="19050" t="0" r="929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586" r="22354" b="219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857" cy="208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  <w:r>
        <w:rPr>
          <w:i/>
        </w:rPr>
        <w:tab/>
      </w:r>
    </w:p>
    <w:p w:rsidR="007105F5" w:rsidRDefault="007105F5" w:rsidP="007105F5">
      <w:pPr>
        <w:rPr>
          <w:i/>
        </w:rPr>
      </w:pPr>
      <w:r>
        <w:rPr>
          <w:i/>
        </w:rPr>
        <w:t xml:space="preserve">… </w:t>
      </w:r>
      <w:proofErr w:type="gramStart"/>
      <w:r>
        <w:rPr>
          <w:i/>
        </w:rPr>
        <w:t>or</w:t>
      </w:r>
      <w:proofErr w:type="gramEnd"/>
      <w:r>
        <w:rPr>
          <w:i/>
        </w:rPr>
        <w:t xml:space="preserve"> search on Khan academy:</w:t>
      </w:r>
    </w:p>
    <w:p w:rsidR="007105F5" w:rsidRPr="007105F5" w:rsidRDefault="007105F5" w:rsidP="007105F5">
      <w:pPr>
        <w:rPr>
          <w:b/>
        </w:rPr>
      </w:pPr>
      <w:r>
        <w:rPr>
          <w:i/>
          <w:noProof/>
        </w:rPr>
        <w:pict>
          <v:oval id="_x0000_s1027" style="position:absolute;margin-left:101pt;margin-top:35.05pt;width:95.75pt;height:25.5pt;z-index:251659264" filled="f" strokecolor="red" strokeweight="4.5pt"/>
        </w:pict>
      </w:r>
      <w:r>
        <w:rPr>
          <w:i/>
          <w:noProof/>
        </w:rPr>
        <w:drawing>
          <wp:inline distT="0" distB="0" distL="0" distR="0">
            <wp:extent cx="4622119" cy="2433880"/>
            <wp:effectExtent l="19050" t="0" r="703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119" cy="243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7105F5" w:rsidRPr="007105F5" w:rsidRDefault="007105F5" w:rsidP="007105F5">
      <w:pPr>
        <w:rPr>
          <w:b/>
          <w:i/>
          <w:sz w:val="32"/>
          <w:u w:val="single"/>
        </w:rPr>
      </w:pPr>
      <w:r w:rsidRPr="007105F5">
        <w:rPr>
          <w:b/>
          <w:i/>
          <w:sz w:val="32"/>
          <w:u w:val="single"/>
        </w:rPr>
        <w:lastRenderedPageBreak/>
        <w:t>Semester 1 Geometry Skills List</w:t>
      </w:r>
    </w:p>
    <w:p w:rsidR="007105F5" w:rsidRPr="007105F5" w:rsidRDefault="007105F5" w:rsidP="007105F5">
      <w:pPr>
        <w:rPr>
          <w:b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120"/>
        <w:rPr>
          <w:rFonts w:asciiTheme="majorHAnsi" w:hAnsiTheme="majorHAnsi"/>
          <w:b/>
          <w:sz w:val="22"/>
          <w:szCs w:val="22"/>
        </w:rPr>
      </w:pPr>
      <w:r w:rsidRPr="007105F5">
        <w:rPr>
          <w:rFonts w:asciiTheme="majorHAnsi" w:hAnsiTheme="majorHAnsi"/>
          <w:b/>
          <w:sz w:val="22"/>
          <w:szCs w:val="22"/>
        </w:rPr>
        <w:t>Foundations of Geometry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Points, lines, planes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Collinear, coplanar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Absolute value (with number lines, distance, expressions)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Distance &amp; line segments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midpoint given endpoints (on number line or graph)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endpoint given midpoint &amp; the other endpoint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Line bisectors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Congruent line segments (with expressions for length)</w:t>
      </w:r>
    </w:p>
    <w:p w:rsidR="007105F5" w:rsidRPr="007105F5" w:rsidRDefault="007105F5" w:rsidP="007105F5">
      <w:pPr>
        <w:pStyle w:val="ListParagraph"/>
        <w:spacing w:after="120"/>
        <w:ind w:left="1080"/>
        <w:rPr>
          <w:rFonts w:asciiTheme="majorHAnsi" w:hAnsiTheme="majorHAnsi"/>
          <w:sz w:val="22"/>
          <w:szCs w:val="22"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12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Linear Algebra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Graph &amp; write the equation of a line from slope + intercept, any point</w:t>
      </w:r>
      <w:r>
        <w:rPr>
          <w:rFonts w:asciiTheme="majorHAnsi" w:hAnsiTheme="majorHAnsi"/>
          <w:sz w:val="22"/>
          <w:szCs w:val="22"/>
        </w:rPr>
        <w:t xml:space="preserve"> (x,y) + slope, or any 2 points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Use slope-intercept, point-slope, and standard form of line</w:t>
      </w:r>
      <w:r>
        <w:rPr>
          <w:rFonts w:asciiTheme="majorHAnsi" w:hAnsiTheme="majorHAnsi"/>
          <w:sz w:val="22"/>
          <w:szCs w:val="22"/>
        </w:rPr>
        <w:t>s, and manipulate between forms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 xml:space="preserve">Identify </w:t>
      </w:r>
      <w:r>
        <w:rPr>
          <w:rFonts w:asciiTheme="majorHAnsi" w:hAnsiTheme="majorHAnsi"/>
          <w:sz w:val="22"/>
          <w:szCs w:val="22"/>
        </w:rPr>
        <w:t>lines</w:t>
      </w:r>
      <w:r w:rsidRPr="007105F5">
        <w:rPr>
          <w:rFonts w:asciiTheme="majorHAnsi" w:hAnsiTheme="majorHAnsi"/>
          <w:sz w:val="22"/>
          <w:szCs w:val="22"/>
        </w:rPr>
        <w:t xml:space="preserve"> tha</w:t>
      </w:r>
      <w:r>
        <w:rPr>
          <w:rFonts w:asciiTheme="majorHAnsi" w:hAnsiTheme="majorHAnsi"/>
          <w:sz w:val="22"/>
          <w:szCs w:val="22"/>
        </w:rPr>
        <w:t>t are parallel or perpendicular to another line</w:t>
      </w:r>
    </w:p>
    <w:p w:rsidR="007105F5" w:rsidRPr="007105F5" w:rsidRDefault="007105F5" w:rsidP="007105F5">
      <w:pPr>
        <w:pStyle w:val="ListParagraph"/>
        <w:spacing w:after="120"/>
        <w:ind w:left="1080"/>
        <w:rPr>
          <w:rFonts w:asciiTheme="majorHAnsi" w:hAnsiTheme="majorHAnsi"/>
          <w:sz w:val="22"/>
          <w:szCs w:val="22"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120"/>
        <w:rPr>
          <w:rFonts w:asciiTheme="majorHAnsi" w:hAnsiTheme="majorHAnsi"/>
          <w:b/>
          <w:sz w:val="22"/>
          <w:szCs w:val="22"/>
        </w:rPr>
      </w:pPr>
      <w:r w:rsidRPr="007105F5">
        <w:rPr>
          <w:rFonts w:asciiTheme="majorHAnsi" w:hAnsiTheme="majorHAnsi"/>
          <w:b/>
          <w:sz w:val="22"/>
          <w:szCs w:val="22"/>
        </w:rPr>
        <w:t>Angles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 xml:space="preserve">Angle bisectors 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Solving for x &amp; finding m</w:t>
      </w:r>
      <w:r w:rsidRPr="007105F5">
        <w:rPr>
          <w:rFonts w:asciiTheme="majorHAnsi" w:hAnsiTheme="majorHAnsi"/>
          <w:sz w:val="22"/>
          <w:szCs w:val="22"/>
        </w:rPr>
        <w:sym w:font="Symbol" w:char="F0D0"/>
      </w:r>
      <w:r>
        <w:rPr>
          <w:rFonts w:asciiTheme="majorHAnsi" w:hAnsiTheme="majorHAnsi"/>
          <w:sz w:val="22"/>
          <w:szCs w:val="22"/>
        </w:rPr>
        <w:t xml:space="preserve"> </w:t>
      </w:r>
      <w:r w:rsidRPr="007105F5">
        <w:rPr>
          <w:rFonts w:asciiTheme="majorHAnsi" w:hAnsiTheme="majorHAnsi"/>
          <w:sz w:val="22"/>
          <w:szCs w:val="22"/>
        </w:rPr>
        <w:t>(given numbers or expressions for angle measures)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Complementary &amp; Supplementary angles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Angles formed by parallel lines with a transversal (identify all congruent &amp; supplementary angles)</w:t>
      </w:r>
    </w:p>
    <w:p w:rsidR="007105F5" w:rsidRPr="007105F5" w:rsidRDefault="007105F5" w:rsidP="007105F5">
      <w:pPr>
        <w:pStyle w:val="ListParagraph"/>
        <w:spacing w:after="120"/>
        <w:ind w:left="1080"/>
        <w:rPr>
          <w:rFonts w:asciiTheme="majorHAnsi" w:hAnsiTheme="majorHAnsi"/>
          <w:sz w:val="22"/>
          <w:szCs w:val="22"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120"/>
        <w:rPr>
          <w:rFonts w:asciiTheme="majorHAnsi" w:hAnsiTheme="majorHAnsi"/>
          <w:b/>
          <w:sz w:val="22"/>
          <w:szCs w:val="22"/>
        </w:rPr>
      </w:pPr>
      <w:r w:rsidRPr="007105F5">
        <w:rPr>
          <w:rFonts w:asciiTheme="majorHAnsi" w:hAnsiTheme="majorHAnsi"/>
          <w:b/>
          <w:sz w:val="22"/>
          <w:szCs w:val="22"/>
        </w:rPr>
        <w:t>Area &amp; Perimeter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Perimeter &amp; Area of Rectangles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Perimeter &amp; Area of Squares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Perimeter &amp; Area of Triangles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Circumference &amp; Area of Circles (exact using π or approximation in decimal form)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diameter or radius from the circumference or area of a circle (or vice versa)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Finding perimeter or area of composite shapes (made of multiple rectangles &amp; triangles)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missing angles for triangles (given degrees or expressions)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missing angle given exterior angle, vertical angles, or  parallel lines with a transversal</w:t>
      </w:r>
    </w:p>
    <w:p w:rsidR="007105F5" w:rsidRPr="007105F5" w:rsidRDefault="007105F5" w:rsidP="007105F5">
      <w:pPr>
        <w:pStyle w:val="ListParagraph"/>
        <w:spacing w:after="120"/>
        <w:ind w:left="1080"/>
        <w:rPr>
          <w:rFonts w:asciiTheme="majorHAnsi" w:hAnsiTheme="majorHAnsi"/>
          <w:sz w:val="22"/>
          <w:szCs w:val="22"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120"/>
        <w:rPr>
          <w:rFonts w:asciiTheme="majorHAnsi" w:hAnsiTheme="majorHAnsi"/>
          <w:b/>
          <w:sz w:val="22"/>
          <w:szCs w:val="22"/>
        </w:rPr>
      </w:pPr>
      <w:r w:rsidRPr="007105F5">
        <w:rPr>
          <w:rFonts w:asciiTheme="majorHAnsi" w:hAnsiTheme="majorHAnsi"/>
          <w:b/>
          <w:sz w:val="22"/>
          <w:szCs w:val="22"/>
        </w:rPr>
        <w:t>Exponent Rules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Product Exponent Rule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Power Exponent Rule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Negative Exponent Rule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Quotient Exponent Rule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Combining like terms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Combining different exponent rules in one expression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Simplifying fractions &amp; roots with variables &amp; exponents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Perfect squares (1-12) &amp; square roots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Simplifying square roots (numbers &amp; variables)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12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 xml:space="preserve">Comparing </w:t>
      </w:r>
      <m:oMath>
        <m:r>
          <w:rPr>
            <w:rFonts w:ascii="Cambria Math" w:hAnsi="Cambria Math"/>
            <w:sz w:val="22"/>
            <w:szCs w:val="22"/>
          </w:rPr>
          <m:t>x</m:t>
        </m:r>
        <m:r>
          <w:rPr>
            <w:rFonts w:ascii="Cambria Math" w:hAnsiTheme="majorHAnsi"/>
            <w:sz w:val="22"/>
            <w:szCs w:val="22"/>
          </w:rPr>
          <m:t xml:space="preserve">, </m:t>
        </m:r>
        <m:sSup>
          <m:sSupPr>
            <m:ctrlPr>
              <w:rPr>
                <w:rFonts w:ascii="Cambria Math" w:hAnsiTheme="maj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Theme="majorHAnsi"/>
                <w:sz w:val="22"/>
                <w:szCs w:val="22"/>
              </w:rPr>
              <m:t>2</m:t>
            </m:r>
          </m:sup>
        </m:sSup>
        <m:r>
          <w:rPr>
            <w:rFonts w:ascii="Cambria Math" w:hAnsiTheme="majorHAnsi"/>
            <w:sz w:val="22"/>
            <w:szCs w:val="22"/>
          </w:rPr>
          <m:t xml:space="preserve">, </m:t>
        </m:r>
        <m:r>
          <w:rPr>
            <w:rFonts w:ascii="Cambria Math" w:hAnsi="Cambria Math"/>
            <w:sz w:val="22"/>
            <w:szCs w:val="22"/>
          </w:rPr>
          <m:t>and</m:t>
        </m:r>
        <m:r>
          <w:rPr>
            <w:rFonts w:ascii="Cambria Math" w:hAnsiTheme="majorHAnsi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Theme="maj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Theme="majorHAnsi"/>
                <w:sz w:val="22"/>
                <w:szCs w:val="22"/>
              </w:rPr>
              <m:t>3</m:t>
            </m:r>
          </m:sup>
        </m:sSup>
      </m:oMath>
      <w:r w:rsidRPr="007105F5">
        <w:rPr>
          <w:rFonts w:asciiTheme="majorHAnsi" w:hAnsiTheme="majorHAnsi"/>
          <w:sz w:val="22"/>
          <w:szCs w:val="22"/>
        </w:rPr>
        <w:t xml:space="preserve"> (for values of </w:t>
      </w:r>
      <w:r w:rsidRPr="007105F5">
        <w:rPr>
          <w:rFonts w:asciiTheme="majorHAnsi" w:hAnsiTheme="majorHAnsi"/>
          <w:i/>
          <w:sz w:val="22"/>
          <w:szCs w:val="22"/>
        </w:rPr>
        <w:t>x</w:t>
      </w:r>
      <w:r w:rsidRPr="007105F5">
        <w:rPr>
          <w:rFonts w:asciiTheme="majorHAnsi" w:hAnsiTheme="majorHAnsi"/>
          <w:sz w:val="22"/>
          <w:szCs w:val="22"/>
        </w:rPr>
        <w:t xml:space="preserve"> that are positive, negative, and fractions that are &lt;1)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20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Simplifying inequalities with variable expressions</w:t>
      </w:r>
    </w:p>
    <w:p w:rsidR="007105F5" w:rsidRPr="007105F5" w:rsidRDefault="007105F5" w:rsidP="007105F5">
      <w:pPr>
        <w:pStyle w:val="ListParagraph"/>
        <w:ind w:left="1080"/>
        <w:rPr>
          <w:rFonts w:asciiTheme="majorHAnsi" w:hAnsiTheme="majorHAnsi"/>
          <w:sz w:val="22"/>
          <w:szCs w:val="22"/>
        </w:rPr>
      </w:pPr>
    </w:p>
    <w:p w:rsidR="007105F5" w:rsidRPr="007105F5" w:rsidRDefault="007105F5" w:rsidP="007105F5">
      <w:pPr>
        <w:pStyle w:val="ListParagraph"/>
        <w:numPr>
          <w:ilvl w:val="0"/>
          <w:numId w:val="4"/>
        </w:numPr>
        <w:spacing w:after="200"/>
        <w:rPr>
          <w:rFonts w:asciiTheme="majorHAnsi" w:hAnsiTheme="majorHAnsi"/>
          <w:b/>
          <w:sz w:val="22"/>
          <w:szCs w:val="22"/>
        </w:rPr>
      </w:pPr>
      <w:r w:rsidRPr="007105F5">
        <w:rPr>
          <w:rFonts w:asciiTheme="majorHAnsi" w:hAnsiTheme="majorHAnsi"/>
          <w:b/>
          <w:sz w:val="22"/>
          <w:szCs w:val="22"/>
        </w:rPr>
        <w:t>Quadratics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20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 xml:space="preserve">Factor a quadratic </w:t>
      </w:r>
      <w:r w:rsidRPr="007105F5">
        <w:rPr>
          <w:rFonts w:asciiTheme="majorHAnsi" w:hAnsiTheme="majorHAnsi"/>
          <w:i/>
          <w:sz w:val="22"/>
          <w:szCs w:val="22"/>
        </w:rPr>
        <w:t>expression</w:t>
      </w:r>
      <w:r w:rsidRPr="007105F5">
        <w:rPr>
          <w:rFonts w:asciiTheme="majorHAnsi" w:hAnsiTheme="majorHAnsi"/>
          <w:sz w:val="22"/>
          <w:szCs w:val="22"/>
        </w:rPr>
        <w:t xml:space="preserve"> into two binomials (mix of positive &amp; negative)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20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Decide whether a leading coefficient (</w:t>
      </w:r>
      <w:r w:rsidRPr="007105F5">
        <w:rPr>
          <w:rFonts w:asciiTheme="majorHAnsi" w:hAnsiTheme="majorHAnsi"/>
          <w:i/>
          <w:sz w:val="22"/>
          <w:szCs w:val="22"/>
        </w:rPr>
        <w:t>a</w:t>
      </w:r>
      <w:r w:rsidRPr="007105F5">
        <w:rPr>
          <w:rFonts w:asciiTheme="majorHAnsi" w:hAnsiTheme="majorHAnsi"/>
          <w:sz w:val="22"/>
          <w:szCs w:val="22"/>
        </w:rPr>
        <w:t>) value of a quadratic can be factored out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20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 xml:space="preserve">Find the solution(s) to a quadratic </w:t>
      </w:r>
      <w:r w:rsidRPr="007105F5">
        <w:rPr>
          <w:rFonts w:asciiTheme="majorHAnsi" w:hAnsiTheme="majorHAnsi"/>
          <w:i/>
          <w:sz w:val="22"/>
          <w:szCs w:val="22"/>
        </w:rPr>
        <w:t>equation</w:t>
      </w:r>
    </w:p>
    <w:p w:rsidR="007105F5" w:rsidRPr="007105F5" w:rsidRDefault="007105F5" w:rsidP="007105F5">
      <w:pPr>
        <w:pStyle w:val="ListParagraph"/>
        <w:numPr>
          <w:ilvl w:val="1"/>
          <w:numId w:val="4"/>
        </w:numPr>
        <w:spacing w:after="200"/>
        <w:rPr>
          <w:rFonts w:asciiTheme="majorHAnsi" w:hAnsiTheme="majorHAnsi"/>
          <w:sz w:val="22"/>
          <w:szCs w:val="22"/>
        </w:rPr>
      </w:pPr>
      <w:r w:rsidRPr="007105F5">
        <w:rPr>
          <w:rFonts w:asciiTheme="majorHAnsi" w:hAnsiTheme="majorHAnsi"/>
          <w:sz w:val="22"/>
          <w:szCs w:val="22"/>
        </w:rPr>
        <w:t>Find the sum or product of solutions of a quadratic equation</w:t>
      </w:r>
    </w:p>
    <w:sectPr w:rsidR="007105F5" w:rsidRPr="007105F5" w:rsidSect="007105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E9A"/>
    <w:multiLevelType w:val="hybridMultilevel"/>
    <w:tmpl w:val="C53E8498"/>
    <w:lvl w:ilvl="0" w:tplc="ECEA8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A08CEB8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310B32"/>
    <w:multiLevelType w:val="hybridMultilevel"/>
    <w:tmpl w:val="74F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86B9D"/>
    <w:multiLevelType w:val="hybridMultilevel"/>
    <w:tmpl w:val="70A84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D2076"/>
    <w:multiLevelType w:val="hybridMultilevel"/>
    <w:tmpl w:val="24FEA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grammar="clean"/>
  <w:defaultTabStop w:val="720"/>
  <w:characterSpacingControl w:val="doNotCompress"/>
  <w:compat/>
  <w:rsids>
    <w:rsidRoot w:val="00F96975"/>
    <w:rsid w:val="000248E2"/>
    <w:rsid w:val="000331C1"/>
    <w:rsid w:val="00253920"/>
    <w:rsid w:val="003B785F"/>
    <w:rsid w:val="00424422"/>
    <w:rsid w:val="004D05E9"/>
    <w:rsid w:val="0056074F"/>
    <w:rsid w:val="00677904"/>
    <w:rsid w:val="006F5A5F"/>
    <w:rsid w:val="007105F5"/>
    <w:rsid w:val="00CE4705"/>
    <w:rsid w:val="00ED05F2"/>
    <w:rsid w:val="00F96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7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5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5F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5F5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  <w:lang/>
    </w:rPr>
  </w:style>
  <w:style w:type="character" w:customStyle="1" w:styleId="HeaderChar">
    <w:name w:val="Header Char"/>
    <w:basedOn w:val="DefaultParagraphFont"/>
    <w:link w:val="Header"/>
    <w:uiPriority w:val="99"/>
    <w:rsid w:val="007105F5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2813</Characters>
  <Application>Microsoft Office Word</Application>
  <DocSecurity>0</DocSecurity>
  <Lines>23</Lines>
  <Paragraphs>6</Paragraphs>
  <ScaleCrop>false</ScaleCrop>
  <Company>Toshiba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2015-01-09T05:12:00Z</cp:lastPrinted>
  <dcterms:created xsi:type="dcterms:W3CDTF">2015-01-09T05:09:00Z</dcterms:created>
  <dcterms:modified xsi:type="dcterms:W3CDTF">2015-01-09T05:12:00Z</dcterms:modified>
</cp:coreProperties>
</file>